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5-464</w:t>
      </w:r>
      <w:r w:rsidR="00420F38">
        <w:rPr>
          <w:sz w:val="28"/>
        </w:rPr>
        <w:t>-2203</w:t>
      </w:r>
      <w:r>
        <w:rPr>
          <w:sz w:val="28"/>
        </w:rPr>
        <w:t>/202</w:t>
      </w:r>
      <w:r w:rsidR="00CE7005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420F38">
        <w:rPr>
          <w:sz w:val="28"/>
        </w:rPr>
        <w:t>86MS0054</w:t>
      </w:r>
      <w:r w:rsidRPr="00CE7005" w:rsidR="00CE7005">
        <w:rPr>
          <w:sz w:val="28"/>
        </w:rPr>
        <w:t>-01-2025-00</w:t>
      </w:r>
      <w:r>
        <w:rPr>
          <w:sz w:val="28"/>
        </w:rPr>
        <w:t>2048-25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  <w:r w:rsidR="00420F38">
        <w:rPr>
          <w:sz w:val="28"/>
        </w:rPr>
        <w:t xml:space="preserve">15 мая 2025 года                                                        </w:t>
      </w:r>
      <w:r>
        <w:rPr>
          <w:sz w:val="28"/>
        </w:rPr>
        <w:t xml:space="preserve">г.Нягань ХМАО-Югры </w:t>
      </w:r>
      <w:r w:rsidR="00E476FB">
        <w:rPr>
          <w:sz w:val="28"/>
        </w:rPr>
        <w:t xml:space="preserve">                                                  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 w:rsidP="00420F3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  <w:r w:rsidRPr="00FE627A" w:rsidR="00420F38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420F38">
        <w:rPr>
          <w:sz w:val="28"/>
        </w:rPr>
        <w:t xml:space="preserve">ого автономного округа – Югры, </w:t>
      </w:r>
    </w:p>
    <w:p w:rsidR="00E53918" w:rsidRPr="00A0221C" w:rsidP="00A0221C">
      <w:pPr>
        <w:pStyle w:val="BodyTextIndent"/>
        <w:ind w:firstLine="708"/>
        <w:jc w:val="both"/>
        <w:rPr>
          <w:sz w:val="28"/>
          <w:szCs w:val="28"/>
        </w:rPr>
      </w:pPr>
      <w:r w:rsidRPr="00420F38">
        <w:rPr>
          <w:sz w:val="28"/>
        </w:rPr>
        <w:t>р</w:t>
      </w:r>
      <w:r w:rsidRPr="00420F38">
        <w:rPr>
          <w:sz w:val="28"/>
        </w:rPr>
        <w:t xml:space="preserve">ассмотрев дело об административном правонарушении в отношении </w:t>
      </w:r>
      <w:r>
        <w:rPr>
          <w:sz w:val="28"/>
          <w:szCs w:val="28"/>
        </w:rPr>
        <w:t>Шутелева Сергея Николаевича</w:t>
      </w:r>
      <w:r w:rsidRPr="00327ADE">
        <w:rPr>
          <w:sz w:val="28"/>
          <w:szCs w:val="28"/>
        </w:rPr>
        <w:t xml:space="preserve">, </w:t>
      </w:r>
      <w:r w:rsidR="0090196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327ADE">
        <w:rPr>
          <w:sz w:val="28"/>
          <w:szCs w:val="28"/>
        </w:rPr>
        <w:t xml:space="preserve"> </w:t>
      </w:r>
      <w:r w:rsidR="00901965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 xml:space="preserve">анина Российской Федерации, </w:t>
      </w:r>
      <w:r w:rsidRPr="00327ADE" w:rsidR="00595044">
        <w:rPr>
          <w:sz w:val="28"/>
          <w:szCs w:val="28"/>
        </w:rPr>
        <w:t xml:space="preserve">паспорт </w:t>
      </w:r>
      <w:r w:rsidR="00901965">
        <w:rPr>
          <w:sz w:val="28"/>
          <w:szCs w:val="28"/>
        </w:rPr>
        <w:t>*</w:t>
      </w:r>
      <w:r w:rsidR="00595044">
        <w:rPr>
          <w:sz w:val="28"/>
        </w:rPr>
        <w:t xml:space="preserve">, </w:t>
      </w:r>
      <w:r>
        <w:rPr>
          <w:sz w:val="28"/>
          <w:szCs w:val="28"/>
        </w:rPr>
        <w:t>работающего 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</w:t>
      </w:r>
      <w:r>
        <w:rPr>
          <w:sz w:val="28"/>
          <w:szCs w:val="28"/>
        </w:rPr>
        <w:t>зарегистрированного</w:t>
      </w:r>
      <w:r w:rsidRPr="00327ADE">
        <w:rPr>
          <w:sz w:val="28"/>
          <w:szCs w:val="28"/>
        </w:rPr>
        <w:t xml:space="preserve"> по адресу: ХМАО-Югра </w:t>
      </w:r>
      <w:r w:rsidR="0090196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</w:t>
      </w:r>
      <w:r>
        <w:rPr>
          <w:sz w:val="28"/>
        </w:rPr>
        <w:t>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A0221C">
        <w:rPr>
          <w:spacing w:val="-2"/>
          <w:sz w:val="28"/>
        </w:rPr>
        <w:t xml:space="preserve"> года Шутелев С.Н.</w:t>
      </w:r>
      <w:r>
        <w:rPr>
          <w:spacing w:val="-2"/>
          <w:sz w:val="28"/>
        </w:rPr>
        <w:t>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A0221C">
        <w:rPr>
          <w:sz w:val="28"/>
          <w:szCs w:val="28"/>
        </w:rPr>
        <w:t>генеральным директором ООО</w:t>
      </w:r>
      <w:r w:rsidRPr="00327ADE" w:rsidR="00A0221C">
        <w:rPr>
          <w:sz w:val="28"/>
          <w:szCs w:val="28"/>
        </w:rPr>
        <w:t xml:space="preserve"> «</w:t>
      </w:r>
      <w:r w:rsidR="00A0221C">
        <w:rPr>
          <w:sz w:val="28"/>
          <w:szCs w:val="28"/>
        </w:rPr>
        <w:t>МПР</w:t>
      </w:r>
      <w:r w:rsidRPr="00327ADE" w:rsidR="00A0221C">
        <w:rPr>
          <w:sz w:val="28"/>
          <w:szCs w:val="28"/>
        </w:rPr>
        <w:t>»</w:t>
      </w:r>
      <w:r w:rsidR="00A0221C">
        <w:rPr>
          <w:sz w:val="28"/>
        </w:rPr>
        <w:t xml:space="preserve">, зарегистрированного по адресу: </w:t>
      </w:r>
      <w:r w:rsidRPr="00327ADE" w:rsidR="00A0221C">
        <w:rPr>
          <w:sz w:val="28"/>
          <w:szCs w:val="28"/>
        </w:rPr>
        <w:t xml:space="preserve">ХМАО-Югра г.Нягань, </w:t>
      </w:r>
      <w:r w:rsidR="00A0221C">
        <w:rPr>
          <w:sz w:val="28"/>
          <w:szCs w:val="28"/>
        </w:rPr>
        <w:t>3-й микрорайон, дом 20,</w:t>
      </w:r>
      <w:r w:rsidRPr="00327ADE" w:rsidR="00A0221C">
        <w:rPr>
          <w:sz w:val="28"/>
          <w:szCs w:val="28"/>
        </w:rPr>
        <w:t xml:space="preserve"> кв</w:t>
      </w:r>
      <w:r w:rsidR="00A0221C">
        <w:rPr>
          <w:sz w:val="28"/>
          <w:szCs w:val="28"/>
        </w:rPr>
        <w:t>артира 125</w:t>
      </w:r>
      <w:r w:rsidR="00A0221C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A0221C">
        <w:rPr>
          <w:sz w:val="28"/>
        </w:rPr>
        <w:t xml:space="preserve"> года. </w:t>
      </w:r>
    </w:p>
    <w:p w:rsidR="00BD75CB" w:rsidRPr="00BD75CB" w:rsidP="00BD75CB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pacing w:val="-2"/>
          <w:sz w:val="28"/>
        </w:rPr>
        <w:t>Шутелев С.Н.,</w:t>
      </w:r>
      <w:r>
        <w:rPr>
          <w:sz w:val="28"/>
        </w:rPr>
        <w:t xml:space="preserve"> </w:t>
      </w:r>
      <w:r w:rsidRPr="00BD75CB">
        <w:rPr>
          <w:sz w:val="28"/>
        </w:rPr>
        <w:t>о дне, времени и месте рассмотрения дела извещался заказным</w:t>
      </w:r>
      <w:r w:rsidR="00E476FB">
        <w:rPr>
          <w:sz w:val="28"/>
        </w:rPr>
        <w:t>и</w:t>
      </w:r>
      <w:r w:rsidRPr="00BD75CB">
        <w:rPr>
          <w:sz w:val="28"/>
        </w:rPr>
        <w:t xml:space="preserve"> письм</w:t>
      </w:r>
      <w:r w:rsidR="00E476FB"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</w:t>
      </w:r>
      <w:r w:rsidRPr="00BD75CB">
        <w:rPr>
          <w:sz w:val="28"/>
        </w:rPr>
        <w:t>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E476FB">
        <w:rPr>
          <w:sz w:val="28"/>
        </w:rPr>
        <w:t>ы</w:t>
      </w:r>
      <w:r w:rsidRPr="00BD75CB">
        <w:rPr>
          <w:sz w:val="28"/>
        </w:rPr>
        <w:t xml:space="preserve"> вернул</w:t>
      </w:r>
      <w:r w:rsidR="00E476FB"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75CB" w:rsidRPr="00BD75CB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</w:t>
      </w:r>
      <w:r w:rsidRPr="00BD75CB">
        <w:rPr>
          <w:sz w:val="28"/>
        </w:rPr>
        <w:t>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 w:rsidRPr="00BD75CB">
        <w:rPr>
          <w:sz w:val="28"/>
        </w:rPr>
        <w:t>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 w:rsidRPr="00BD75CB">
        <w:rPr>
          <w:sz w:val="28"/>
        </w:rPr>
        <w:t xml:space="preserve">ении срока хранения, если были соблюдены положения Особых условий приема, вручения, хранения и возврата почтовых отправлений </w:t>
      </w:r>
      <w:r w:rsidRPr="00BD75CB">
        <w:rPr>
          <w:sz w:val="28"/>
        </w:rPr>
        <w:t>разряда "Судебное", утвержденных приказом ФГУП "Почта России" от 31 августа 2005 года N 343.</w:t>
      </w:r>
    </w:p>
    <w:p w:rsidR="00E53918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 xml:space="preserve">В связи с вышеизложенным, мировой </w:t>
      </w:r>
      <w:r w:rsidRPr="00BD75CB">
        <w:rPr>
          <w:sz w:val="28"/>
        </w:rPr>
        <w:t>судья считает возможным рассмотреть дело об административном правонарушении в отсутствии должностного лица</w:t>
      </w:r>
      <w:r w:rsidR="00FC0FD7">
        <w:rPr>
          <w:sz w:val="28"/>
        </w:rPr>
        <w:t xml:space="preserve"> </w:t>
      </w:r>
      <w:r>
        <w:rPr>
          <w:spacing w:val="-2"/>
          <w:sz w:val="28"/>
        </w:rPr>
        <w:t>Шутелева С.Н.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>
        <w:rPr>
          <w:spacing w:val="-2"/>
          <w:sz w:val="28"/>
        </w:rPr>
        <w:t xml:space="preserve">Шутелева С.Н. </w:t>
      </w:r>
      <w:r>
        <w:rPr>
          <w:sz w:val="28"/>
        </w:rPr>
        <w:t>в совершении административного правонарушения, пр</w:t>
      </w:r>
      <w:r>
        <w:rPr>
          <w:sz w:val="28"/>
        </w:rPr>
        <w:t>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</w:t>
      </w:r>
      <w:r>
        <w:rPr>
          <w:sz w:val="28"/>
        </w:rPr>
        <w:t xml:space="preserve">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</w:t>
      </w:r>
      <w:r>
        <w:rPr>
          <w:sz w:val="28"/>
        </w:rPr>
        <w:t>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</w:t>
      </w:r>
      <w:r>
        <w:rPr>
          <w:sz w:val="28"/>
        </w:rPr>
        <w:t>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</w:t>
      </w:r>
      <w:r>
        <w:rPr>
          <w:sz w:val="28"/>
        </w:rPr>
        <w:t>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</w:t>
      </w:r>
      <w:r>
        <w:rPr>
          <w:sz w:val="28"/>
        </w:rPr>
        <w:t>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420F38">
        <w:rPr>
          <w:color w:val="FF0000"/>
          <w:sz w:val="28"/>
        </w:rPr>
        <w:t>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 w:rsidR="00420F38">
        <w:rPr>
          <w:color w:val="FF0000"/>
          <w:sz w:val="28"/>
        </w:rPr>
        <w:t>27 января 2025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420F38"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</w:t>
      </w:r>
      <w:r>
        <w:rPr>
          <w:sz w:val="28"/>
        </w:rPr>
        <w:t xml:space="preserve"> юридических ли</w:t>
      </w:r>
      <w:r w:rsidR="003A3A0B">
        <w:rPr>
          <w:sz w:val="28"/>
        </w:rPr>
        <w:t xml:space="preserve">ц, генеральным директором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>
        <w:rPr>
          <w:sz w:val="28"/>
        </w:rPr>
        <w:t xml:space="preserve"> является </w:t>
      </w:r>
      <w:r>
        <w:rPr>
          <w:spacing w:val="-2"/>
          <w:sz w:val="28"/>
        </w:rPr>
        <w:t>Шутелев С.Н.</w:t>
      </w:r>
      <w:r>
        <w:rPr>
          <w:sz w:val="28"/>
        </w:rPr>
        <w:t xml:space="preserve">, т.е. лицом имеющим право без доверенности действовать от имени юридического лица, является </w:t>
      </w:r>
      <w:r>
        <w:rPr>
          <w:spacing w:val="-2"/>
          <w:sz w:val="28"/>
        </w:rPr>
        <w:t xml:space="preserve">Шутелев С.Н. </w:t>
      </w:r>
      <w:r>
        <w:rPr>
          <w:sz w:val="28"/>
        </w:rPr>
        <w:t xml:space="preserve">Соответственно, </w:t>
      </w:r>
      <w:r>
        <w:rPr>
          <w:spacing w:val="-2"/>
          <w:sz w:val="28"/>
        </w:rPr>
        <w:t>Шутелев С.Н.</w:t>
      </w:r>
      <w:r>
        <w:rPr>
          <w:sz w:val="28"/>
        </w:rPr>
        <w:t>, как должностное лицо, несет ответственность за с</w:t>
      </w:r>
      <w:r>
        <w:rPr>
          <w:sz w:val="28"/>
        </w:rPr>
        <w:t xml:space="preserve">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420F38">
        <w:rPr>
          <w:color w:val="FF0000"/>
          <w:sz w:val="28"/>
        </w:rPr>
        <w:t>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Шутелева С.Н. </w:t>
      </w:r>
      <w:r>
        <w:rPr>
          <w:sz w:val="28"/>
        </w:rPr>
        <w:t>в совершении пра</w:t>
      </w:r>
      <w:r>
        <w:rPr>
          <w:sz w:val="28"/>
        </w:rPr>
        <w:t>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административном правонарушении № 822Ю</w:t>
      </w:r>
      <w:r w:rsidR="00420F38">
        <w:rPr>
          <w:sz w:val="28"/>
        </w:rPr>
        <w:t xml:space="preserve"> от 27</w:t>
      </w:r>
      <w:r w:rsidR="00CE7005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</w:t>
      </w:r>
      <w:r>
        <w:rPr>
          <w:sz w:val="28"/>
        </w:rPr>
        <w:t>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</w:t>
      </w:r>
      <w:r>
        <w:rPr>
          <w:sz w:val="28"/>
        </w:rPr>
        <w:t xml:space="preserve">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Шутелеву С.Н.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</w:t>
      </w:r>
      <w:r w:rsidRPr="003A3A0B">
        <w:rPr>
          <w:sz w:val="28"/>
        </w:rPr>
        <w:t xml:space="preserve">ти и расчетов по страховым взносам, из которой следует, что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420F38"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Шутелева С.Н.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статье 15.5 Кодекса </w:t>
      </w:r>
      <w:r>
        <w:rPr>
          <w:sz w:val="28"/>
        </w:rPr>
        <w:t>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Шутелеву С.Н.,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</w:t>
      </w:r>
      <w:r>
        <w:rPr>
          <w:sz w:val="28"/>
        </w:rPr>
        <w:t>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</w:t>
      </w:r>
      <w:r>
        <w:rPr>
          <w:sz w:val="28"/>
        </w:rPr>
        <w:t>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</w:t>
      </w:r>
      <w:r>
        <w:rPr>
          <w:sz w:val="28"/>
        </w:rPr>
        <w:t xml:space="preserve">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</w:t>
      </w:r>
      <w:r>
        <w:rPr>
          <w:sz w:val="28"/>
        </w:rPr>
        <w:t>статьями 15.5, 29.9, 29.10 Кодекса Российской Федерации об административных правонарушениях, мировой судья</w:t>
      </w:r>
    </w:p>
    <w:p w:rsidR="00155218">
      <w:pPr>
        <w:tabs>
          <w:tab w:val="left" w:pos="9354"/>
        </w:tabs>
        <w:ind w:right="-2" w:firstLine="708"/>
        <w:jc w:val="both"/>
        <w:rPr>
          <w:sz w:val="28"/>
        </w:rPr>
      </w:pP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  <w:szCs w:val="28"/>
        </w:rPr>
        <w:t>Шутелева Сергея Николаевича</w:t>
      </w:r>
      <w:r w:rsidR="00E476FB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</w:t>
      </w:r>
      <w:r>
        <w:rPr>
          <w:sz w:val="28"/>
        </w:rPr>
        <w:t xml:space="preserve">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</w:t>
      </w:r>
      <w:r>
        <w:rPr>
          <w:sz w:val="28"/>
        </w:rPr>
        <w:t>го автономного округа-Югры через мир</w:t>
      </w:r>
      <w:r w:rsidR="00420F38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F619A9">
        <w:rPr>
          <w:sz w:val="28"/>
        </w:rPr>
        <w:t>дней</w:t>
      </w:r>
      <w:r>
        <w:rPr>
          <w:sz w:val="28"/>
        </w:rPr>
        <w:t xml:space="preserve"> с момента вручения или получении к</w:t>
      </w:r>
      <w:r>
        <w:rPr>
          <w:sz w:val="28"/>
        </w:rPr>
        <w:t>опии постановления.</w:t>
      </w:r>
    </w:p>
    <w:p w:rsidR="00E53918" w:rsidP="00420F38">
      <w:pPr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595044">
      <w:pPr>
        <w:ind w:firstLine="708"/>
        <w:jc w:val="both"/>
        <w:rPr>
          <w:sz w:val="28"/>
        </w:rPr>
      </w:pPr>
    </w:p>
    <w:p w:rsidR="00595044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595044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901965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15B5B"/>
    <w:rsid w:val="00155218"/>
    <w:rsid w:val="00327ADE"/>
    <w:rsid w:val="00395F06"/>
    <w:rsid w:val="003A3A0B"/>
    <w:rsid w:val="00420F38"/>
    <w:rsid w:val="004A2789"/>
    <w:rsid w:val="00563EC5"/>
    <w:rsid w:val="0059325C"/>
    <w:rsid w:val="00595044"/>
    <w:rsid w:val="005B2095"/>
    <w:rsid w:val="005B40C1"/>
    <w:rsid w:val="005E24F1"/>
    <w:rsid w:val="006F7E09"/>
    <w:rsid w:val="0075797C"/>
    <w:rsid w:val="00875681"/>
    <w:rsid w:val="00901965"/>
    <w:rsid w:val="009E579C"/>
    <w:rsid w:val="00A0221C"/>
    <w:rsid w:val="00BD75CB"/>
    <w:rsid w:val="00C04F97"/>
    <w:rsid w:val="00C15D69"/>
    <w:rsid w:val="00CE7005"/>
    <w:rsid w:val="00DC685B"/>
    <w:rsid w:val="00E476FB"/>
    <w:rsid w:val="00E53918"/>
    <w:rsid w:val="00EC642F"/>
    <w:rsid w:val="00F619A9"/>
    <w:rsid w:val="00FC0FD7"/>
    <w:rsid w:val="00FD0543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CA104-D82B-454B-9764-5E6E38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